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color w:val="FF0000"/>
          <w:spacing w:val="-20"/>
          <w:sz w:val="84"/>
          <w:szCs w:val="84"/>
        </w:rPr>
      </w:pPr>
      <w:bookmarkStart w:id="0" w:name="documentHead"/>
      <w:r>
        <w:rPr>
          <w:rFonts w:hint="eastAsia" w:ascii="宋体" w:hAnsi="宋体"/>
          <w:b/>
          <w:color w:val="FF0000"/>
          <w:spacing w:val="-20"/>
          <w:sz w:val="84"/>
          <w:szCs w:val="84"/>
        </w:rPr>
        <w:t>安徽省工商行政管理局</w:t>
      </w:r>
    </w:p>
    <w:p>
      <w:pPr>
        <w:spacing w:line="400" w:lineRule="exact"/>
        <w:rPr>
          <w:rFonts w:hint="eastAsia" w:ascii="宋体" w:hAnsi="宋体"/>
          <w:b/>
          <w:color w:val="FF0000"/>
          <w:spacing w:val="-20"/>
          <w:szCs w:val="32"/>
        </w:rPr>
      </w:pPr>
      <w:r>
        <w:rPr>
          <w:rFonts w:hint="eastAsia" w:ascii="宋体" w:hAnsi="宋体"/>
          <w:b/>
          <w:color w:val="FF0000"/>
          <w:spacing w:val="-20"/>
          <w:szCs w:val="32"/>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198120</wp:posOffset>
                </wp:positionV>
                <wp:extent cx="6120130" cy="0"/>
                <wp:effectExtent l="0" t="28575" r="13970" b="28575"/>
                <wp:wrapNone/>
                <wp:docPr id="1" name="直线 2"/>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18pt;margin-top:15.6pt;height:0pt;width:481.9pt;z-index:251658240;mso-width-relative:page;mso-height-relative:page;" filled="f" stroked="t" coordsize="21600,21600" o:gfxdata="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y9H1/1QAAAAkBAAAPAAAAAAAAAAEAIAAAACIA&#10;AABkcnMvZG93bnJldi54bWxQSwECFAAUAAAACACHTuJAyksLANMBAACUAwAADgAAAAAAAAABACAA&#10;AAAkAQAAZHJzL2Uyb0RvYy54bWxQSwUGAAAAAAYABgBZAQAAaQUAAAAA&#10;">
                <v:fill on="f" focussize="0,0"/>
                <v:stroke weight="4.5pt" color="#FF0000" linestyle="thickThin" joinstyle="round"/>
                <v:imagedata o:title=""/>
                <o:lock v:ext="edit" aspectratio="f"/>
              </v:line>
            </w:pict>
          </mc:Fallback>
        </mc:AlternateContent>
      </w:r>
    </w:p>
    <w:bookmarkEnd w:id="0"/>
    <w:p>
      <w:pPr>
        <w:spacing w:line="14" w:lineRule="exact"/>
        <w:jc w:val="center"/>
        <w:rPr>
          <w:rFonts w:hint="eastAsia"/>
          <w:szCs w:val="32"/>
        </w:rPr>
      </w:pPr>
    </w:p>
    <w:p>
      <w:pPr>
        <w:spacing w:line="14" w:lineRule="exact"/>
        <w:jc w:val="center"/>
        <w:rPr>
          <w:rFonts w:hint="eastAsia"/>
          <w:szCs w:val="32"/>
        </w:rPr>
      </w:pPr>
    </w:p>
    <w:p>
      <w:pPr>
        <w:spacing w:line="14" w:lineRule="exact"/>
        <w:jc w:val="center"/>
        <w:rPr>
          <w:rFonts w:hint="eastAsia"/>
          <w:szCs w:val="32"/>
        </w:rPr>
      </w:pPr>
    </w:p>
    <w:p>
      <w:pPr>
        <w:spacing w:line="14" w:lineRule="exact"/>
        <w:jc w:val="center"/>
        <w:rPr>
          <w:rFonts w:hint="eastAsia"/>
          <w:szCs w:val="32"/>
        </w:rPr>
      </w:pPr>
    </w:p>
    <w:p>
      <w:pPr>
        <w:spacing w:line="14" w:lineRule="exact"/>
        <w:jc w:val="center"/>
        <w:rPr>
          <w:rFonts w:hint="eastAsia"/>
          <w:szCs w:val="32"/>
        </w:rPr>
      </w:pPr>
    </w:p>
    <w:p>
      <w:pPr>
        <w:wordWrap w:val="0"/>
        <w:jc w:val="right"/>
        <w:rPr>
          <w:rFonts w:hint="eastAsia" w:ascii="仿宋_GB2312" w:hAnsi="宋体"/>
          <w:szCs w:val="32"/>
        </w:rPr>
      </w:pPr>
      <w:r>
        <w:rPr>
          <w:rFonts w:hint="eastAsia" w:ascii="仿宋_GB2312" w:hAnsi="宋体"/>
          <w:szCs w:val="32"/>
        </w:rPr>
        <w:t xml:space="preserve"> </w:t>
      </w:r>
    </w:p>
    <w:p>
      <w:pPr>
        <w:spacing w:line="14" w:lineRule="exact"/>
        <w:jc w:val="center"/>
        <w:rPr>
          <w:rFonts w:hint="eastAsia" w:ascii="宋体" w:hAnsi="宋体"/>
          <w:szCs w:val="32"/>
        </w:rPr>
      </w:pPr>
    </w:p>
    <w:p>
      <w:pPr>
        <w:widowControl/>
        <w:spacing w:line="600" w:lineRule="exact"/>
        <w:jc w:val="center"/>
        <w:rPr>
          <w:rFonts w:hint="eastAsia" w:ascii="方正小标宋简体" w:hAnsi="宋体" w:eastAsia="方正小标宋简体" w:cs="宋体"/>
          <w:color w:val="000000"/>
          <w:kern w:val="0"/>
          <w:sz w:val="44"/>
          <w:szCs w:val="44"/>
        </w:rPr>
      </w:pPr>
      <w:r>
        <w:rPr>
          <w:rFonts w:ascii="宋体" w:hAnsi="宋体"/>
          <w:szCs w:val="21"/>
        </w:rPr>
        <w:tab/>
      </w:r>
      <w:r>
        <w:rPr>
          <w:rFonts w:hint="eastAsia" w:ascii="方正小标宋简体" w:hAnsi="宋体" w:eastAsia="方正小标宋简体" w:cs="宋体"/>
          <w:color w:val="000000"/>
          <w:kern w:val="0"/>
          <w:sz w:val="44"/>
          <w:szCs w:val="44"/>
        </w:rPr>
        <w:t>关于开展全省放心消费创建暨消费维权</w:t>
      </w:r>
    </w:p>
    <w:p>
      <w:pPr>
        <w:widowControl/>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 xml:space="preserve">工作调研督查的通知 </w:t>
      </w:r>
    </w:p>
    <w:p>
      <w:pPr>
        <w:widowControl/>
        <w:rPr>
          <w:rFonts w:hint="eastAsia" w:ascii="仿宋" w:hAnsi="仿宋" w:eastAsia="仿宋" w:cs="宋体"/>
          <w:kern w:val="0"/>
          <w:sz w:val="30"/>
          <w:szCs w:val="32"/>
        </w:rPr>
      </w:pPr>
    </w:p>
    <w:p>
      <w:pPr>
        <w:widowControl/>
        <w:rPr>
          <w:rFonts w:hint="eastAsia" w:ascii="仿宋" w:hAnsi="仿宋" w:eastAsia="仿宋" w:cs="仿宋"/>
          <w:kern w:val="0"/>
          <w:sz w:val="32"/>
          <w:szCs w:val="32"/>
        </w:rPr>
      </w:pPr>
      <w:r>
        <w:rPr>
          <w:rFonts w:hint="eastAsia" w:ascii="仿宋" w:hAnsi="仿宋" w:eastAsia="仿宋" w:cs="仿宋"/>
          <w:kern w:val="0"/>
          <w:sz w:val="32"/>
          <w:szCs w:val="32"/>
        </w:rPr>
        <w:t>各市工商（工商质监）局、消保委，省直管县市场监管局、消保委：</w:t>
      </w:r>
    </w:p>
    <w:p>
      <w:pPr>
        <w:ind w:firstLine="645"/>
        <w:rPr>
          <w:rFonts w:hint="eastAsia" w:ascii="仿宋" w:hAnsi="仿宋" w:eastAsia="仿宋" w:cs="仿宋"/>
          <w:kern w:val="0"/>
          <w:sz w:val="32"/>
          <w:szCs w:val="32"/>
        </w:rPr>
      </w:pPr>
      <w:r>
        <w:rPr>
          <w:rFonts w:hint="eastAsia" w:ascii="仿宋" w:hAnsi="仿宋" w:eastAsia="仿宋" w:cs="仿宋"/>
          <w:kern w:val="0"/>
          <w:sz w:val="32"/>
          <w:szCs w:val="32"/>
        </w:rPr>
        <w:t>为认真贯彻落实省委、省政府重点任务工作部署，全面了解各地放心消费创建工作进展和履行消费维权职责情况，理清今后一个时期的工作方法和思路，经省局领导同意，省局决定于2018年4月至5月期间，在全省集中开展一次调研督查活动。</w:t>
      </w:r>
    </w:p>
    <w:p>
      <w:pPr>
        <w:ind w:firstLine="645"/>
        <w:rPr>
          <w:rFonts w:hint="eastAsia" w:ascii="仿宋" w:hAnsi="仿宋" w:eastAsia="仿宋" w:cs="仿宋"/>
          <w:kern w:val="0"/>
          <w:sz w:val="32"/>
          <w:szCs w:val="32"/>
        </w:rPr>
      </w:pPr>
      <w:r>
        <w:rPr>
          <w:rFonts w:hint="eastAsia" w:ascii="仿宋" w:hAnsi="仿宋" w:eastAsia="仿宋" w:cs="仿宋"/>
          <w:kern w:val="0"/>
          <w:sz w:val="32"/>
          <w:szCs w:val="32"/>
        </w:rPr>
        <w:t>现将调研督查方案发给你们，请按照方案中调研督查内容要求提前做好准备工作。</w:t>
      </w:r>
    </w:p>
    <w:p>
      <w:pPr>
        <w:ind w:firstLine="645"/>
        <w:rPr>
          <w:rFonts w:hint="eastAsia" w:ascii="仿宋" w:hAnsi="仿宋" w:eastAsia="仿宋" w:cs="仿宋"/>
          <w:kern w:val="0"/>
          <w:sz w:val="32"/>
          <w:szCs w:val="32"/>
        </w:rPr>
      </w:pPr>
    </w:p>
    <w:p>
      <w:pPr>
        <w:ind w:firstLine="645"/>
        <w:rPr>
          <w:rFonts w:hint="eastAsia" w:ascii="仿宋" w:hAnsi="仿宋" w:eastAsia="仿宋" w:cs="仿宋"/>
          <w:kern w:val="0"/>
          <w:sz w:val="32"/>
          <w:szCs w:val="32"/>
        </w:rPr>
      </w:pPr>
    </w:p>
    <w:p>
      <w:pPr>
        <w:ind w:firstLine="645"/>
        <w:rPr>
          <w:rFonts w:hint="eastAsia" w:ascii="仿宋" w:hAnsi="仿宋" w:eastAsia="仿宋" w:cs="仿宋"/>
          <w:kern w:val="0"/>
          <w:sz w:val="32"/>
          <w:szCs w:val="32"/>
        </w:rPr>
      </w:pPr>
      <w:r>
        <w:rPr>
          <w:rFonts w:hint="eastAsia" w:ascii="仿宋" w:hAnsi="仿宋" w:eastAsia="仿宋" w:cs="仿宋"/>
          <w:kern w:val="0"/>
          <w:sz w:val="32"/>
          <w:szCs w:val="32"/>
        </w:rPr>
        <w:t xml:space="preserve">                             省局消保处</w:t>
      </w:r>
    </w:p>
    <w:p>
      <w:pPr>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 xml:space="preserve"> 2018年4月10日</w:t>
      </w:r>
    </w:p>
    <w:p>
      <w:pPr>
        <w:rPr>
          <w:rFonts w:hint="eastAsia" w:ascii="仿宋" w:hAnsi="仿宋" w:eastAsia="仿宋" w:cs="仿宋"/>
          <w:kern w:val="0"/>
          <w:sz w:val="32"/>
          <w:szCs w:val="32"/>
        </w:rPr>
      </w:pPr>
    </w:p>
    <w:p>
      <w:pPr>
        <w:rPr>
          <w:rFonts w:hint="eastAsia" w:ascii="仿宋" w:hAnsi="仿宋" w:eastAsia="仿宋" w:cs="仿宋"/>
          <w:kern w:val="0"/>
          <w:sz w:val="32"/>
          <w:szCs w:val="32"/>
        </w:rPr>
      </w:pPr>
    </w:p>
    <w:p>
      <w:pPr>
        <w:rPr>
          <w:rFonts w:hint="eastAsia" w:ascii="仿宋" w:hAnsi="仿宋" w:eastAsia="仿宋" w:cs="仿宋"/>
          <w:kern w:val="0"/>
          <w:sz w:val="32"/>
          <w:szCs w:val="32"/>
        </w:rPr>
      </w:pPr>
    </w:p>
    <w:p>
      <w:pPr>
        <w:rPr>
          <w:rFonts w:hint="eastAsia" w:ascii="仿宋" w:hAnsi="仿宋" w:eastAsia="仿宋" w:cs="仿宋"/>
          <w:kern w:val="0"/>
          <w:sz w:val="32"/>
          <w:szCs w:val="32"/>
        </w:rPr>
      </w:pPr>
    </w:p>
    <w:p>
      <w:pPr>
        <w:widowControl/>
        <w:spacing w:line="600" w:lineRule="exact"/>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全省放心消费创建暨消费维权工作</w:t>
      </w:r>
    </w:p>
    <w:p>
      <w:pPr>
        <w:widowControl/>
        <w:spacing w:line="600" w:lineRule="exact"/>
        <w:jc w:val="cente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调研督查方案 </w:t>
      </w:r>
    </w:p>
    <w:p>
      <w:pPr>
        <w:widowControl/>
        <w:rPr>
          <w:rFonts w:hint="eastAsia" w:ascii="仿宋" w:hAnsi="仿宋" w:eastAsia="仿宋" w:cs="仿宋"/>
          <w:kern w:val="0"/>
          <w:sz w:val="32"/>
          <w:szCs w:val="32"/>
        </w:rPr>
      </w:pPr>
    </w:p>
    <w:p>
      <w:pPr>
        <w:widowControl/>
        <w:spacing w:line="560" w:lineRule="exact"/>
        <w:rPr>
          <w:rFonts w:hint="eastAsia" w:ascii="仿宋" w:hAnsi="仿宋" w:eastAsia="仿宋" w:cs="仿宋"/>
          <w:color w:val="000000"/>
          <w:kern w:val="0"/>
          <w:sz w:val="32"/>
          <w:szCs w:val="32"/>
        </w:rPr>
      </w:pPr>
      <w:r>
        <w:rPr>
          <w:rFonts w:hint="eastAsia" w:ascii="仿宋" w:hAnsi="仿宋" w:eastAsia="仿宋" w:cs="仿宋"/>
          <w:kern w:val="0"/>
          <w:sz w:val="32"/>
          <w:szCs w:val="32"/>
        </w:rPr>
        <w:t xml:space="preserve">    为认真贯彻落实省委、省政府重点任务工作部署，全面了解各地放心消费创建工作进展和履行消费维权职责情况，理清今后一个时期的工作方法和思路，省工商局决定于2018年4月至5月期间，在全省集中开展一次调研督查活动。具体方案如下：  </w:t>
      </w:r>
    </w:p>
    <w:p>
      <w:pPr>
        <w:widowControl/>
        <w:spacing w:line="56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bCs/>
          <w:color w:val="000000"/>
          <w:kern w:val="0"/>
          <w:sz w:val="32"/>
          <w:szCs w:val="32"/>
        </w:rPr>
        <w:t>一、调研督查内容</w:t>
      </w:r>
      <w:r>
        <w:rPr>
          <w:rFonts w:hint="eastAsia" w:ascii="仿宋" w:hAnsi="仿宋" w:eastAsia="仿宋" w:cs="仿宋"/>
          <w:color w:val="000000"/>
          <w:kern w:val="0"/>
          <w:sz w:val="32"/>
          <w:szCs w:val="32"/>
        </w:rPr>
        <w:t xml:space="preserve"> </w:t>
      </w:r>
    </w:p>
    <w:p>
      <w:pPr>
        <w:widowControl/>
        <w:spacing w:line="56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kern w:val="0"/>
          <w:sz w:val="32"/>
          <w:szCs w:val="32"/>
        </w:rPr>
        <w:t>（一）放心消费创建工作开展情况</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1.2017年度放心消费示范单位完成情况；</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2.省局放心消费创建工作推进会议落实和本地区2018年度放心消费参创经营者培育工作开展情况；</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3.《关于开展放心消费创建活动营造安全放心消费环境的实施意见》（皖工商消字〔2018〕32号）印发后，各地在放心消费创建工作中与相关部门联动贯彻落实情况；</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4.放心消费创建工作压力和风险情况，存在问题和建议；</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5.“放心消费创建”网页已经上线，参创及示范单位的录入工作已纳入目标责任制考核，录入培训年中进行，对此的意见和建议有哪些。</w:t>
      </w:r>
    </w:p>
    <w:p>
      <w:pPr>
        <w:widowControl/>
        <w:spacing w:line="560" w:lineRule="exact"/>
        <w:ind w:firstLine="800" w:firstLineChars="250"/>
        <w:jc w:val="left"/>
        <w:rPr>
          <w:rFonts w:hint="eastAsia" w:ascii="仿宋" w:hAnsi="仿宋" w:eastAsia="仿宋" w:cs="仿宋"/>
          <w:kern w:val="0"/>
          <w:sz w:val="32"/>
          <w:szCs w:val="32"/>
        </w:rPr>
      </w:pPr>
      <w:r>
        <w:rPr>
          <w:rFonts w:hint="eastAsia" w:ascii="仿宋" w:hAnsi="仿宋" w:eastAsia="仿宋" w:cs="仿宋"/>
          <w:kern w:val="0"/>
          <w:sz w:val="32"/>
          <w:szCs w:val="32"/>
        </w:rPr>
        <w:t>（二）消费维权工作情况</w:t>
      </w:r>
    </w:p>
    <w:p>
      <w:pPr>
        <w:widowControl/>
        <w:spacing w:line="56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1.侵害消费者权益行为执法专项行动开展情况；</w:t>
      </w:r>
    </w:p>
    <w:p>
      <w:pPr>
        <w:widowControl/>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2.市局和县局12315运转和人员构成（附件1），消费者投诉举报流转工作中存在问题和建议；</w:t>
      </w:r>
    </w:p>
    <w:p>
      <w:pPr>
        <w:widowControl/>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3.12315电话接通率、诉求办结率、调解成功率、举报查实率、“诉转案”率情况，存在问题及建议；</w:t>
      </w:r>
    </w:p>
    <w:p>
      <w:pPr>
        <w:widowControl/>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4.12315“五进”和“一会两站”运转和拓展延伸情况，存在问题及建议；在4A级景区全面建立12315消费维权服务站进展情况；</w:t>
      </w:r>
    </w:p>
    <w:p>
      <w:pPr>
        <w:widowControl/>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5.流通领域商品质量抽检及质量监管工作存在的问题及建议；</w:t>
      </w:r>
    </w:p>
    <w:p>
      <w:pPr>
        <w:widowControl/>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6.近年来，消费者投诉举报中出现的新情况、新问题，对策和建议；</w:t>
      </w:r>
    </w:p>
    <w:p>
      <w:pPr>
        <w:widowControl/>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7.各市、县区消保委实际运转和人员构成情况（附件2），存在问题和建议。</w:t>
      </w:r>
    </w:p>
    <w:p>
      <w:pPr>
        <w:widowControl/>
        <w:spacing w:line="56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二、调研督查方式 </w:t>
      </w:r>
    </w:p>
    <w:p>
      <w:pPr>
        <w:widowControl/>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由省工商局消保处和省消保委秘书处组成调研督查组，于4月至5月期间，赴全省16个市局和2个直管县市场监管局开展调研督查（具体安排见附件3）。通过听取市县区局汇报、座谈讨论、赴培育点实地调研检查，掌握第一手真实情况。每组每市走访一个县局、一个区局和3-5个不同类型的参与放心消费创建培育点，力求把情况摸清，把问题找准，努力形成有价值、高质量的调研督查报告。</w:t>
      </w:r>
    </w:p>
    <w:p>
      <w:pPr>
        <w:widowControl/>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调研督查结束后，各调研组要认真撰写调研督查报告，于5月7日前送省工商局放心消费创建工作领导小组办公室统一汇总。调研报告要开门见山直奔主题，着重反映各地工作进展和履职情况、好的做法、存在问题，出现的新情况、新问题，并提出具有针对性、可操作性的解决办法和建议。</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三、工作要求</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（一）高度重视，精心组织。放心消费创建工作已列入省委、省政府重点工作，是省工商局放心消费创建工作领导小组成立后的第一次专项调研督查，各组要高度重视，认真安排，切实提高调研督查效率。</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（二）客观公正，实事求是。各市、县工商（市场监管）和消保委要认真对照调研内容准备汇报材料，要客观反映本单位的工作进展和成绩，实事求是地反映存在的问题和困难有针对性地提出意见建议。</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（三）遵守纪律，严格自律。各组在调研督查过程中，要严格遵守中央“八项规定”精神和省委、省政府“三十条”，廉洁自律。</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调研督查差旅费由省工商局统一结算。 </w:t>
      </w:r>
    </w:p>
    <w:p>
      <w:pPr>
        <w:spacing w:line="560" w:lineRule="exact"/>
        <w:ind w:firstLine="640" w:firstLineChars="200"/>
        <w:rPr>
          <w:rFonts w:hint="eastAsia" w:ascii="仿宋" w:hAnsi="仿宋" w:eastAsia="仿宋" w:cs="仿宋"/>
          <w:sz w:val="32"/>
          <w:szCs w:val="32"/>
        </w:rPr>
      </w:pP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w w:val="95"/>
          <w:sz w:val="32"/>
          <w:szCs w:val="32"/>
        </w:rPr>
        <w:t>1.</w:t>
      </w:r>
      <w:r>
        <w:rPr>
          <w:rFonts w:hint="eastAsia" w:ascii="仿宋" w:hAnsi="仿宋" w:eastAsia="仿宋" w:cs="仿宋"/>
          <w:w w:val="95"/>
          <w:kern w:val="0"/>
          <w:sz w:val="32"/>
          <w:szCs w:val="32"/>
        </w:rPr>
        <w:t>12315消费者投诉举报电话实际运转和人员构成情况统计表</w:t>
      </w:r>
    </w:p>
    <w:p>
      <w:pPr>
        <w:spacing w:line="560" w:lineRule="exact"/>
        <w:ind w:firstLine="1600" w:firstLineChars="500"/>
        <w:rPr>
          <w:rFonts w:hint="eastAsia" w:ascii="仿宋" w:hAnsi="仿宋" w:eastAsia="仿宋" w:cs="仿宋"/>
          <w:sz w:val="32"/>
          <w:szCs w:val="32"/>
        </w:rPr>
      </w:pPr>
      <w:r>
        <w:rPr>
          <w:rFonts w:hint="eastAsia" w:ascii="仿宋" w:hAnsi="仿宋" w:eastAsia="仿宋" w:cs="仿宋"/>
          <w:kern w:val="0"/>
          <w:sz w:val="32"/>
          <w:szCs w:val="32"/>
        </w:rPr>
        <w:t>2.消保委实际运转和人员构成情况 统计表</w:t>
      </w:r>
    </w:p>
    <w:p>
      <w:pPr>
        <w:spacing w:line="560" w:lineRule="exact"/>
        <w:ind w:firstLine="1600" w:firstLineChars="500"/>
        <w:rPr>
          <w:rFonts w:hint="eastAsia" w:ascii="仿宋" w:hAnsi="仿宋" w:eastAsia="仿宋" w:cs="仿宋"/>
          <w:sz w:val="32"/>
          <w:szCs w:val="32"/>
        </w:rPr>
      </w:pPr>
      <w:r>
        <w:rPr>
          <w:rFonts w:hint="eastAsia" w:ascii="仿宋" w:hAnsi="仿宋" w:eastAsia="仿宋" w:cs="仿宋"/>
          <w:sz w:val="32"/>
          <w:szCs w:val="32"/>
        </w:rPr>
        <w:t>3.调研督查组调研地点安排表</w:t>
      </w:r>
    </w:p>
    <w:p>
      <w:pPr>
        <w:spacing w:line="560" w:lineRule="exact"/>
        <w:ind w:firstLine="1600" w:firstLineChars="500"/>
        <w:rPr>
          <w:rFonts w:hint="eastAsia" w:ascii="仿宋" w:hAnsi="仿宋" w:eastAsia="仿宋" w:cs="仿宋"/>
          <w:sz w:val="32"/>
          <w:szCs w:val="32"/>
        </w:rPr>
      </w:pPr>
    </w:p>
    <w:p>
      <w:pPr>
        <w:spacing w:line="560" w:lineRule="exact"/>
        <w:ind w:firstLine="2080" w:firstLineChars="650"/>
        <w:rPr>
          <w:rFonts w:hint="eastAsia" w:ascii="仿宋" w:hAnsi="仿宋" w:eastAsia="仿宋" w:cs="仿宋"/>
          <w:sz w:val="32"/>
          <w:szCs w:val="32"/>
        </w:rPr>
      </w:pPr>
      <w:r>
        <w:rPr>
          <w:rFonts w:hint="eastAsia" w:ascii="仿宋" w:hAnsi="仿宋" w:eastAsia="仿宋" w:cs="仿宋"/>
          <w:sz w:val="32"/>
          <w:szCs w:val="32"/>
        </w:rPr>
        <w:t>安徽省工商局放心消费创建工作领导小组办公室</w:t>
      </w:r>
    </w:p>
    <w:p>
      <w:pPr>
        <w:spacing w:line="560" w:lineRule="exact"/>
        <w:ind w:firstLine="5760" w:firstLineChars="1800"/>
        <w:rPr>
          <w:rFonts w:hint="eastAsia" w:ascii="仿宋" w:hAnsi="仿宋" w:eastAsia="仿宋" w:cs="仿宋"/>
          <w:sz w:val="32"/>
          <w:szCs w:val="32"/>
        </w:rPr>
        <w:sectPr>
          <w:pgSz w:w="11906" w:h="16838"/>
          <w:pgMar w:top="1440" w:right="1406" w:bottom="1383" w:left="1463" w:header="851" w:footer="992" w:gutter="0"/>
          <w:cols w:space="0" w:num="1"/>
          <w:rtlGutter w:val="0"/>
          <w:docGrid w:type="lines" w:linePitch="312" w:charSpace="0"/>
        </w:sectPr>
      </w:pPr>
      <w:r>
        <w:rPr>
          <w:rFonts w:hint="eastAsia" w:ascii="仿宋" w:hAnsi="仿宋" w:eastAsia="仿宋" w:cs="仿宋"/>
          <w:sz w:val="32"/>
          <w:szCs w:val="32"/>
        </w:rPr>
        <w:t>2018年4月10日</w:t>
      </w:r>
    </w:p>
    <w:p>
      <w:pPr>
        <w:spacing w:line="560" w:lineRule="exact"/>
        <w:ind w:firstLine="5760" w:firstLineChars="1800"/>
        <w:rPr>
          <w:rFonts w:hint="eastAsia" w:ascii="仿宋" w:hAnsi="仿宋" w:eastAsia="仿宋" w:cs="仿宋"/>
          <w:sz w:val="32"/>
          <w:szCs w:val="32"/>
        </w:rPr>
      </w:pPr>
    </w:p>
    <w:tbl>
      <w:tblPr>
        <w:tblStyle w:val="4"/>
        <w:tblpPr w:leftFromText="180" w:rightFromText="180" w:vertAnchor="text" w:horzAnchor="page" w:tblpX="1653" w:tblpY="1863"/>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87"/>
        <w:gridCol w:w="1168"/>
        <w:gridCol w:w="2378"/>
        <w:gridCol w:w="2386"/>
        <w:gridCol w:w="2835"/>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rPr>
        <w:tc>
          <w:tcPr>
            <w:tcW w:w="1261" w:type="dxa"/>
            <w:vMerge w:val="restart"/>
          </w:tcPr>
          <w:p>
            <w:pPr>
              <w:spacing w:line="0" w:lineRule="atLeast"/>
              <w:jc w:val="center"/>
              <w:rPr>
                <w:rFonts w:ascii="黑体" w:hAnsi="黑体" w:eastAsia="黑体"/>
                <w:sz w:val="30"/>
                <w:szCs w:val="30"/>
              </w:rPr>
            </w:pPr>
            <w:r>
              <w:rPr>
                <w:rFonts w:hint="eastAsia" w:ascii="黑体" w:hAnsi="黑体" w:eastAsia="黑体"/>
                <w:sz w:val="30"/>
                <w:szCs w:val="30"/>
              </w:rPr>
              <w:t>类别</w:t>
            </w:r>
          </w:p>
        </w:tc>
        <w:tc>
          <w:tcPr>
            <w:tcW w:w="1987" w:type="dxa"/>
            <w:vMerge w:val="restart"/>
          </w:tcPr>
          <w:p>
            <w:pPr>
              <w:spacing w:line="0" w:lineRule="atLeast"/>
              <w:jc w:val="center"/>
              <w:rPr>
                <w:rFonts w:ascii="黑体" w:hAnsi="黑体" w:eastAsia="黑体"/>
                <w:sz w:val="30"/>
                <w:szCs w:val="30"/>
              </w:rPr>
            </w:pPr>
            <w:r>
              <w:rPr>
                <w:rFonts w:hint="eastAsia" w:ascii="黑体" w:hAnsi="黑体" w:eastAsia="黑体"/>
                <w:sz w:val="30"/>
                <w:szCs w:val="30"/>
              </w:rPr>
              <w:t>12315座席系统电话数量（个）</w:t>
            </w:r>
          </w:p>
        </w:tc>
        <w:tc>
          <w:tcPr>
            <w:tcW w:w="8767" w:type="dxa"/>
            <w:gridSpan w:val="4"/>
          </w:tcPr>
          <w:p>
            <w:pPr>
              <w:spacing w:line="0" w:lineRule="atLeast"/>
              <w:jc w:val="center"/>
              <w:rPr>
                <w:rFonts w:ascii="黑体" w:hAnsi="黑体" w:eastAsia="黑体"/>
                <w:sz w:val="30"/>
                <w:szCs w:val="30"/>
              </w:rPr>
            </w:pPr>
            <w:r>
              <w:rPr>
                <w:rFonts w:hint="eastAsia" w:ascii="黑体" w:hAnsi="黑体" w:eastAsia="黑体"/>
                <w:sz w:val="30"/>
                <w:szCs w:val="30"/>
              </w:rPr>
              <w:t>现有在岗人员构成情况</w:t>
            </w:r>
          </w:p>
        </w:tc>
        <w:tc>
          <w:tcPr>
            <w:tcW w:w="2159" w:type="dxa"/>
          </w:tcPr>
          <w:p>
            <w:pPr>
              <w:spacing w:line="0" w:lineRule="atLeast"/>
              <w:jc w:val="center"/>
              <w:rPr>
                <w:rFonts w:ascii="黑体" w:hAnsi="黑体" w:eastAsia="黑体"/>
                <w:sz w:val="30"/>
                <w:szCs w:val="30"/>
              </w:rPr>
            </w:pPr>
            <w:r>
              <w:rPr>
                <w:rFonts w:hint="eastAsia" w:ascii="黑体" w:hAnsi="黑体" w:eastAsia="黑体"/>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1" w:type="dxa"/>
            <w:vMerge w:val="continue"/>
          </w:tcPr>
          <w:p>
            <w:pPr>
              <w:spacing w:line="0" w:lineRule="atLeast"/>
              <w:jc w:val="center"/>
              <w:rPr>
                <w:rFonts w:ascii="黑体" w:hAnsi="黑体" w:eastAsia="黑体"/>
                <w:sz w:val="30"/>
                <w:szCs w:val="30"/>
              </w:rPr>
            </w:pPr>
          </w:p>
        </w:tc>
        <w:tc>
          <w:tcPr>
            <w:tcW w:w="1987" w:type="dxa"/>
            <w:vMerge w:val="continue"/>
          </w:tcPr>
          <w:p>
            <w:pPr>
              <w:spacing w:line="0" w:lineRule="atLeast"/>
              <w:jc w:val="center"/>
              <w:rPr>
                <w:rFonts w:ascii="黑体" w:hAnsi="黑体" w:eastAsia="黑体"/>
                <w:sz w:val="30"/>
                <w:szCs w:val="30"/>
              </w:rPr>
            </w:pPr>
          </w:p>
        </w:tc>
        <w:tc>
          <w:tcPr>
            <w:tcW w:w="1168" w:type="dxa"/>
          </w:tcPr>
          <w:p>
            <w:pPr>
              <w:spacing w:line="0" w:lineRule="atLeast"/>
              <w:jc w:val="center"/>
              <w:rPr>
                <w:rFonts w:ascii="黑体" w:hAnsi="黑体" w:eastAsia="黑体"/>
                <w:sz w:val="30"/>
                <w:szCs w:val="30"/>
              </w:rPr>
            </w:pPr>
            <w:r>
              <w:rPr>
                <w:rFonts w:hint="eastAsia" w:ascii="黑体" w:hAnsi="黑体" w:eastAsia="黑体"/>
                <w:sz w:val="30"/>
                <w:szCs w:val="30"/>
              </w:rPr>
              <w:t>总数</w:t>
            </w:r>
          </w:p>
        </w:tc>
        <w:tc>
          <w:tcPr>
            <w:tcW w:w="2378" w:type="dxa"/>
          </w:tcPr>
          <w:p>
            <w:pPr>
              <w:spacing w:line="0" w:lineRule="atLeast"/>
              <w:jc w:val="center"/>
              <w:rPr>
                <w:rFonts w:ascii="黑体" w:hAnsi="黑体" w:eastAsia="黑体"/>
                <w:sz w:val="30"/>
                <w:szCs w:val="30"/>
              </w:rPr>
            </w:pPr>
            <w:r>
              <w:rPr>
                <w:rFonts w:hint="eastAsia" w:ascii="黑体" w:hAnsi="黑体" w:eastAsia="黑体"/>
                <w:sz w:val="30"/>
                <w:szCs w:val="30"/>
              </w:rPr>
              <w:t>行政编制人员数</w:t>
            </w:r>
          </w:p>
        </w:tc>
        <w:tc>
          <w:tcPr>
            <w:tcW w:w="2386" w:type="dxa"/>
          </w:tcPr>
          <w:p>
            <w:pPr>
              <w:spacing w:line="0" w:lineRule="atLeast"/>
              <w:jc w:val="center"/>
              <w:rPr>
                <w:rFonts w:ascii="黑体" w:hAnsi="黑体" w:eastAsia="黑体"/>
                <w:sz w:val="30"/>
                <w:szCs w:val="30"/>
              </w:rPr>
            </w:pPr>
            <w:r>
              <w:rPr>
                <w:rFonts w:hint="eastAsia" w:ascii="黑体" w:hAnsi="黑体" w:eastAsia="黑体"/>
                <w:sz w:val="30"/>
                <w:szCs w:val="30"/>
              </w:rPr>
              <w:t>事业编制人员数</w:t>
            </w:r>
          </w:p>
        </w:tc>
        <w:tc>
          <w:tcPr>
            <w:tcW w:w="2835" w:type="dxa"/>
          </w:tcPr>
          <w:p>
            <w:pPr>
              <w:spacing w:line="0" w:lineRule="atLeast"/>
              <w:jc w:val="center"/>
              <w:rPr>
                <w:rFonts w:ascii="黑体" w:hAnsi="黑体" w:eastAsia="黑体"/>
                <w:sz w:val="30"/>
                <w:szCs w:val="30"/>
              </w:rPr>
            </w:pPr>
            <w:r>
              <w:rPr>
                <w:rFonts w:hint="eastAsia" w:ascii="黑体" w:hAnsi="黑体" w:eastAsia="黑体"/>
                <w:sz w:val="30"/>
                <w:szCs w:val="30"/>
              </w:rPr>
              <w:t>其他身份人员数（说明具体身份性质）</w:t>
            </w:r>
          </w:p>
        </w:tc>
        <w:tc>
          <w:tcPr>
            <w:tcW w:w="2159" w:type="dxa"/>
          </w:tcPr>
          <w:p>
            <w:pPr>
              <w:spacing w:line="0" w:lineRule="atLeast"/>
              <w:jc w:val="center"/>
              <w:rPr>
                <w:rFonts w:ascii="黑体" w:hAnsi="黑体" w:eastAsia="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1" w:type="dxa"/>
          </w:tcPr>
          <w:p>
            <w:pPr>
              <w:rPr>
                <w:rFonts w:ascii="黑体" w:hAnsi="黑体" w:eastAsia="黑体"/>
                <w:sz w:val="32"/>
                <w:szCs w:val="32"/>
              </w:rPr>
            </w:pPr>
            <w:r>
              <w:rPr>
                <w:rFonts w:hint="eastAsia" w:ascii="黑体" w:hAnsi="黑体" w:eastAsia="黑体"/>
                <w:sz w:val="32"/>
                <w:szCs w:val="32"/>
              </w:rPr>
              <w:t>市本级</w:t>
            </w:r>
          </w:p>
        </w:tc>
        <w:tc>
          <w:tcPr>
            <w:tcW w:w="1987" w:type="dxa"/>
          </w:tcPr>
          <w:p>
            <w:pPr>
              <w:rPr>
                <w:rFonts w:ascii="黑体" w:hAnsi="黑体" w:eastAsia="黑体"/>
                <w:sz w:val="32"/>
                <w:szCs w:val="32"/>
              </w:rPr>
            </w:pPr>
          </w:p>
        </w:tc>
        <w:tc>
          <w:tcPr>
            <w:tcW w:w="1168" w:type="dxa"/>
          </w:tcPr>
          <w:p>
            <w:pPr>
              <w:rPr>
                <w:rFonts w:ascii="黑体" w:hAnsi="黑体" w:eastAsia="黑体"/>
                <w:sz w:val="32"/>
                <w:szCs w:val="32"/>
              </w:rPr>
            </w:pPr>
          </w:p>
        </w:tc>
        <w:tc>
          <w:tcPr>
            <w:tcW w:w="2378" w:type="dxa"/>
          </w:tcPr>
          <w:p>
            <w:pPr>
              <w:rPr>
                <w:rFonts w:ascii="黑体" w:hAnsi="黑体" w:eastAsia="黑体"/>
                <w:sz w:val="32"/>
                <w:szCs w:val="32"/>
              </w:rPr>
            </w:pPr>
          </w:p>
        </w:tc>
        <w:tc>
          <w:tcPr>
            <w:tcW w:w="2386" w:type="dxa"/>
          </w:tcPr>
          <w:p>
            <w:pPr>
              <w:rPr>
                <w:rFonts w:ascii="黑体" w:hAnsi="黑体" w:eastAsia="黑体"/>
                <w:sz w:val="32"/>
                <w:szCs w:val="32"/>
              </w:rPr>
            </w:pPr>
          </w:p>
        </w:tc>
        <w:tc>
          <w:tcPr>
            <w:tcW w:w="2835" w:type="dxa"/>
          </w:tcPr>
          <w:p>
            <w:pPr>
              <w:rPr>
                <w:rFonts w:ascii="黑体" w:hAnsi="黑体" w:eastAsia="黑体"/>
                <w:sz w:val="32"/>
                <w:szCs w:val="32"/>
              </w:rPr>
            </w:pPr>
          </w:p>
        </w:tc>
        <w:tc>
          <w:tcPr>
            <w:tcW w:w="2159" w:type="dxa"/>
          </w:tcPr>
          <w:p>
            <w:pPr>
              <w:rPr>
                <w:rFonts w:ascii="黑体" w:hAns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1" w:type="dxa"/>
          </w:tcPr>
          <w:p>
            <w:pPr>
              <w:rPr>
                <w:rFonts w:ascii="黑体" w:hAnsi="黑体" w:eastAsia="黑体"/>
                <w:sz w:val="32"/>
                <w:szCs w:val="32"/>
              </w:rPr>
            </w:pPr>
            <w:r>
              <w:rPr>
                <w:rFonts w:hint="eastAsia" w:ascii="黑体" w:hAnsi="黑体" w:eastAsia="黑体"/>
                <w:sz w:val="32"/>
                <w:szCs w:val="32"/>
              </w:rPr>
              <w:t>**区局</w:t>
            </w:r>
          </w:p>
        </w:tc>
        <w:tc>
          <w:tcPr>
            <w:tcW w:w="1987" w:type="dxa"/>
          </w:tcPr>
          <w:p>
            <w:pPr>
              <w:rPr>
                <w:rFonts w:ascii="黑体" w:hAnsi="黑体" w:eastAsia="黑体"/>
                <w:sz w:val="32"/>
                <w:szCs w:val="32"/>
              </w:rPr>
            </w:pPr>
          </w:p>
        </w:tc>
        <w:tc>
          <w:tcPr>
            <w:tcW w:w="1168" w:type="dxa"/>
          </w:tcPr>
          <w:p>
            <w:pPr>
              <w:rPr>
                <w:rFonts w:ascii="黑体" w:hAnsi="黑体" w:eastAsia="黑体"/>
                <w:sz w:val="32"/>
                <w:szCs w:val="32"/>
              </w:rPr>
            </w:pPr>
          </w:p>
        </w:tc>
        <w:tc>
          <w:tcPr>
            <w:tcW w:w="2378" w:type="dxa"/>
          </w:tcPr>
          <w:p>
            <w:pPr>
              <w:rPr>
                <w:rFonts w:ascii="黑体" w:hAnsi="黑体" w:eastAsia="黑体"/>
                <w:sz w:val="32"/>
                <w:szCs w:val="32"/>
              </w:rPr>
            </w:pPr>
          </w:p>
        </w:tc>
        <w:tc>
          <w:tcPr>
            <w:tcW w:w="2386" w:type="dxa"/>
          </w:tcPr>
          <w:p>
            <w:pPr>
              <w:rPr>
                <w:rFonts w:ascii="黑体" w:hAnsi="黑体" w:eastAsia="黑体"/>
                <w:sz w:val="32"/>
                <w:szCs w:val="32"/>
              </w:rPr>
            </w:pPr>
          </w:p>
        </w:tc>
        <w:tc>
          <w:tcPr>
            <w:tcW w:w="2835" w:type="dxa"/>
          </w:tcPr>
          <w:p>
            <w:pPr>
              <w:rPr>
                <w:rFonts w:ascii="黑体" w:hAnsi="黑体" w:eastAsia="黑体"/>
                <w:sz w:val="32"/>
                <w:szCs w:val="32"/>
              </w:rPr>
            </w:pPr>
          </w:p>
        </w:tc>
        <w:tc>
          <w:tcPr>
            <w:tcW w:w="2159" w:type="dxa"/>
          </w:tcPr>
          <w:p>
            <w:pPr>
              <w:rPr>
                <w:rFonts w:ascii="黑体" w:hAns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1" w:type="dxa"/>
          </w:tcPr>
          <w:p>
            <w:pPr>
              <w:rPr>
                <w:rFonts w:ascii="黑体" w:hAnsi="黑体" w:eastAsia="黑体"/>
                <w:sz w:val="32"/>
                <w:szCs w:val="32"/>
              </w:rPr>
            </w:pPr>
            <w:r>
              <w:rPr>
                <w:rFonts w:hint="eastAsia" w:ascii="仿宋" w:hAnsi="仿宋" w:eastAsia="仿宋"/>
                <w:sz w:val="32"/>
                <w:szCs w:val="32"/>
              </w:rPr>
              <w:t>···</w:t>
            </w:r>
          </w:p>
        </w:tc>
        <w:tc>
          <w:tcPr>
            <w:tcW w:w="1987" w:type="dxa"/>
          </w:tcPr>
          <w:p>
            <w:pPr>
              <w:rPr>
                <w:rFonts w:ascii="黑体" w:hAnsi="黑体" w:eastAsia="黑体"/>
                <w:sz w:val="32"/>
                <w:szCs w:val="32"/>
              </w:rPr>
            </w:pPr>
          </w:p>
        </w:tc>
        <w:tc>
          <w:tcPr>
            <w:tcW w:w="1168" w:type="dxa"/>
          </w:tcPr>
          <w:p>
            <w:pPr>
              <w:rPr>
                <w:rFonts w:ascii="黑体" w:hAnsi="黑体" w:eastAsia="黑体"/>
                <w:sz w:val="32"/>
                <w:szCs w:val="32"/>
              </w:rPr>
            </w:pPr>
          </w:p>
        </w:tc>
        <w:tc>
          <w:tcPr>
            <w:tcW w:w="2378" w:type="dxa"/>
          </w:tcPr>
          <w:p>
            <w:pPr>
              <w:rPr>
                <w:rFonts w:ascii="黑体" w:hAnsi="黑体" w:eastAsia="黑体"/>
                <w:sz w:val="32"/>
                <w:szCs w:val="32"/>
              </w:rPr>
            </w:pPr>
          </w:p>
        </w:tc>
        <w:tc>
          <w:tcPr>
            <w:tcW w:w="2386" w:type="dxa"/>
          </w:tcPr>
          <w:p>
            <w:pPr>
              <w:rPr>
                <w:rFonts w:ascii="黑体" w:hAnsi="黑体" w:eastAsia="黑体"/>
                <w:sz w:val="32"/>
                <w:szCs w:val="32"/>
              </w:rPr>
            </w:pPr>
          </w:p>
        </w:tc>
        <w:tc>
          <w:tcPr>
            <w:tcW w:w="2835" w:type="dxa"/>
          </w:tcPr>
          <w:p>
            <w:pPr>
              <w:rPr>
                <w:rFonts w:ascii="黑体" w:hAnsi="黑体" w:eastAsia="黑体"/>
                <w:sz w:val="32"/>
                <w:szCs w:val="32"/>
              </w:rPr>
            </w:pPr>
          </w:p>
        </w:tc>
        <w:tc>
          <w:tcPr>
            <w:tcW w:w="2159" w:type="dxa"/>
          </w:tcPr>
          <w:p>
            <w:pPr>
              <w:rPr>
                <w:rFonts w:ascii="黑体" w:hAns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1" w:type="dxa"/>
          </w:tcPr>
          <w:p>
            <w:pPr>
              <w:rPr>
                <w:rFonts w:ascii="黑体" w:hAnsi="黑体" w:eastAsia="黑体"/>
                <w:sz w:val="32"/>
                <w:szCs w:val="32"/>
              </w:rPr>
            </w:pPr>
            <w:r>
              <w:rPr>
                <w:rFonts w:hint="eastAsia" w:ascii="黑体" w:hAnsi="黑体" w:eastAsia="黑体"/>
                <w:sz w:val="32"/>
                <w:szCs w:val="32"/>
              </w:rPr>
              <w:t>**县局</w:t>
            </w:r>
          </w:p>
        </w:tc>
        <w:tc>
          <w:tcPr>
            <w:tcW w:w="1987" w:type="dxa"/>
          </w:tcPr>
          <w:p>
            <w:pPr>
              <w:rPr>
                <w:rFonts w:ascii="黑体" w:hAnsi="黑体" w:eastAsia="黑体"/>
                <w:sz w:val="32"/>
                <w:szCs w:val="32"/>
              </w:rPr>
            </w:pPr>
          </w:p>
        </w:tc>
        <w:tc>
          <w:tcPr>
            <w:tcW w:w="1168" w:type="dxa"/>
          </w:tcPr>
          <w:p>
            <w:pPr>
              <w:rPr>
                <w:rFonts w:ascii="黑体" w:hAnsi="黑体" w:eastAsia="黑体"/>
                <w:sz w:val="32"/>
                <w:szCs w:val="32"/>
              </w:rPr>
            </w:pPr>
          </w:p>
        </w:tc>
        <w:tc>
          <w:tcPr>
            <w:tcW w:w="2378" w:type="dxa"/>
          </w:tcPr>
          <w:p>
            <w:pPr>
              <w:rPr>
                <w:rFonts w:ascii="黑体" w:hAnsi="黑体" w:eastAsia="黑体"/>
                <w:sz w:val="32"/>
                <w:szCs w:val="32"/>
              </w:rPr>
            </w:pPr>
          </w:p>
        </w:tc>
        <w:tc>
          <w:tcPr>
            <w:tcW w:w="2386" w:type="dxa"/>
          </w:tcPr>
          <w:p>
            <w:pPr>
              <w:rPr>
                <w:rFonts w:ascii="黑体" w:hAnsi="黑体" w:eastAsia="黑体"/>
                <w:sz w:val="32"/>
                <w:szCs w:val="32"/>
              </w:rPr>
            </w:pPr>
          </w:p>
        </w:tc>
        <w:tc>
          <w:tcPr>
            <w:tcW w:w="2835" w:type="dxa"/>
          </w:tcPr>
          <w:p>
            <w:pPr>
              <w:rPr>
                <w:rFonts w:ascii="黑体" w:hAnsi="黑体" w:eastAsia="黑体"/>
                <w:sz w:val="32"/>
                <w:szCs w:val="32"/>
              </w:rPr>
            </w:pPr>
          </w:p>
        </w:tc>
        <w:tc>
          <w:tcPr>
            <w:tcW w:w="2159" w:type="dxa"/>
          </w:tcPr>
          <w:p>
            <w:pPr>
              <w:rPr>
                <w:rFonts w:ascii="黑体" w:hAns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1" w:type="dxa"/>
          </w:tcPr>
          <w:p>
            <w:pPr>
              <w:rPr>
                <w:rFonts w:ascii="黑体" w:hAnsi="黑体" w:eastAsia="黑体"/>
                <w:sz w:val="32"/>
                <w:szCs w:val="32"/>
              </w:rPr>
            </w:pPr>
            <w:r>
              <w:rPr>
                <w:rFonts w:hint="eastAsia" w:ascii="仿宋" w:hAnsi="仿宋" w:eastAsia="仿宋"/>
                <w:sz w:val="32"/>
                <w:szCs w:val="32"/>
              </w:rPr>
              <w:t>···</w:t>
            </w:r>
          </w:p>
        </w:tc>
        <w:tc>
          <w:tcPr>
            <w:tcW w:w="1987" w:type="dxa"/>
          </w:tcPr>
          <w:p>
            <w:pPr>
              <w:rPr>
                <w:rFonts w:ascii="黑体" w:hAnsi="黑体" w:eastAsia="黑体"/>
                <w:sz w:val="32"/>
                <w:szCs w:val="32"/>
              </w:rPr>
            </w:pPr>
          </w:p>
        </w:tc>
        <w:tc>
          <w:tcPr>
            <w:tcW w:w="1168" w:type="dxa"/>
          </w:tcPr>
          <w:p>
            <w:pPr>
              <w:rPr>
                <w:rFonts w:ascii="黑体" w:hAnsi="黑体" w:eastAsia="黑体"/>
                <w:sz w:val="32"/>
                <w:szCs w:val="32"/>
              </w:rPr>
            </w:pPr>
          </w:p>
        </w:tc>
        <w:tc>
          <w:tcPr>
            <w:tcW w:w="2378" w:type="dxa"/>
          </w:tcPr>
          <w:p>
            <w:pPr>
              <w:rPr>
                <w:rFonts w:ascii="黑体" w:hAnsi="黑体" w:eastAsia="黑体"/>
                <w:sz w:val="32"/>
                <w:szCs w:val="32"/>
              </w:rPr>
            </w:pPr>
          </w:p>
        </w:tc>
        <w:tc>
          <w:tcPr>
            <w:tcW w:w="2386" w:type="dxa"/>
          </w:tcPr>
          <w:p>
            <w:pPr>
              <w:rPr>
                <w:rFonts w:ascii="黑体" w:hAnsi="黑体" w:eastAsia="黑体"/>
                <w:sz w:val="32"/>
                <w:szCs w:val="32"/>
              </w:rPr>
            </w:pPr>
          </w:p>
        </w:tc>
        <w:tc>
          <w:tcPr>
            <w:tcW w:w="2835" w:type="dxa"/>
          </w:tcPr>
          <w:p>
            <w:pPr>
              <w:rPr>
                <w:rFonts w:ascii="黑体" w:hAnsi="黑体" w:eastAsia="黑体"/>
                <w:sz w:val="32"/>
                <w:szCs w:val="32"/>
              </w:rPr>
            </w:pPr>
          </w:p>
        </w:tc>
        <w:tc>
          <w:tcPr>
            <w:tcW w:w="2159" w:type="dxa"/>
          </w:tcPr>
          <w:p>
            <w:pPr>
              <w:rPr>
                <w:rFonts w:ascii="黑体" w:hAns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1" w:type="dxa"/>
          </w:tcPr>
          <w:p>
            <w:pPr>
              <w:rPr>
                <w:rFonts w:ascii="黑体" w:hAnsi="黑体" w:eastAsia="黑体"/>
                <w:sz w:val="32"/>
                <w:szCs w:val="32"/>
              </w:rPr>
            </w:pPr>
            <w:r>
              <w:rPr>
                <w:rFonts w:hint="eastAsia" w:ascii="黑体" w:hAnsi="黑体" w:eastAsia="黑体"/>
                <w:sz w:val="32"/>
                <w:szCs w:val="32"/>
              </w:rPr>
              <w:t>合计</w:t>
            </w:r>
          </w:p>
        </w:tc>
        <w:tc>
          <w:tcPr>
            <w:tcW w:w="1987" w:type="dxa"/>
          </w:tcPr>
          <w:p>
            <w:pPr>
              <w:rPr>
                <w:rFonts w:ascii="黑体" w:hAnsi="黑体" w:eastAsia="黑体"/>
                <w:sz w:val="32"/>
                <w:szCs w:val="32"/>
              </w:rPr>
            </w:pPr>
          </w:p>
        </w:tc>
        <w:tc>
          <w:tcPr>
            <w:tcW w:w="1168" w:type="dxa"/>
          </w:tcPr>
          <w:p>
            <w:pPr>
              <w:rPr>
                <w:rFonts w:ascii="黑体" w:hAnsi="黑体" w:eastAsia="黑体"/>
                <w:sz w:val="32"/>
                <w:szCs w:val="32"/>
              </w:rPr>
            </w:pPr>
          </w:p>
        </w:tc>
        <w:tc>
          <w:tcPr>
            <w:tcW w:w="2378" w:type="dxa"/>
          </w:tcPr>
          <w:p>
            <w:pPr>
              <w:rPr>
                <w:rFonts w:ascii="黑体" w:hAnsi="黑体" w:eastAsia="黑体"/>
                <w:sz w:val="32"/>
                <w:szCs w:val="32"/>
              </w:rPr>
            </w:pPr>
          </w:p>
        </w:tc>
        <w:tc>
          <w:tcPr>
            <w:tcW w:w="2386" w:type="dxa"/>
          </w:tcPr>
          <w:p>
            <w:pPr>
              <w:rPr>
                <w:rFonts w:ascii="黑体" w:hAnsi="黑体" w:eastAsia="黑体"/>
                <w:sz w:val="32"/>
                <w:szCs w:val="32"/>
              </w:rPr>
            </w:pPr>
          </w:p>
        </w:tc>
        <w:tc>
          <w:tcPr>
            <w:tcW w:w="2835" w:type="dxa"/>
          </w:tcPr>
          <w:p>
            <w:pPr>
              <w:rPr>
                <w:rFonts w:ascii="黑体" w:hAnsi="黑体" w:eastAsia="黑体"/>
                <w:sz w:val="32"/>
                <w:szCs w:val="32"/>
              </w:rPr>
            </w:pPr>
          </w:p>
        </w:tc>
        <w:tc>
          <w:tcPr>
            <w:tcW w:w="2159" w:type="dxa"/>
          </w:tcPr>
          <w:p>
            <w:pPr>
              <w:rPr>
                <w:rFonts w:ascii="黑体" w:hAnsi="黑体" w:eastAsia="黑体"/>
                <w:sz w:val="32"/>
                <w:szCs w:val="32"/>
              </w:rPr>
            </w:pPr>
          </w:p>
        </w:tc>
      </w:tr>
    </w:tbl>
    <w:p>
      <w:pPr>
        <w:rPr>
          <w:rFonts w:ascii="黑体" w:hAnsi="黑体" w:eastAsia="黑体"/>
          <w:sz w:val="32"/>
          <w:szCs w:val="32"/>
        </w:rPr>
      </w:pPr>
      <w:r>
        <w:rPr>
          <w:rFonts w:hint="eastAsia" w:ascii="黑体" w:hAnsi="黑体" w:eastAsia="黑体"/>
          <w:sz w:val="32"/>
          <w:szCs w:val="32"/>
        </w:rPr>
        <w:t>附件1</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12315消费者投诉举报电话实际运转和人员构成情况统计表</w:t>
      </w:r>
    </w:p>
    <w:p>
      <w:pPr>
        <w:spacing w:line="600" w:lineRule="exact"/>
        <w:rPr>
          <w:rFonts w:ascii="仿宋_GB2312" w:eastAsia="仿宋_GB2312"/>
          <w:sz w:val="32"/>
          <w:szCs w:val="32"/>
        </w:rPr>
      </w:pPr>
      <w:r>
        <w:rPr>
          <w:rFonts w:hint="eastAsia" w:ascii="仿宋_GB2312" w:eastAsia="仿宋_GB2312"/>
          <w:sz w:val="32"/>
          <w:szCs w:val="32"/>
        </w:rPr>
        <w:t>填报单位：                        填报人：                          填报时间：</w:t>
      </w:r>
    </w:p>
    <w:p>
      <w:pPr>
        <w:rPr>
          <w:rFonts w:hint="eastAsia" w:ascii="仿宋" w:hAnsi="仿宋" w:eastAsia="仿宋" w:cs="仿宋"/>
          <w:kern w:val="0"/>
          <w:sz w:val="32"/>
          <w:szCs w:val="32"/>
        </w:rPr>
      </w:pPr>
    </w:p>
    <w:tbl>
      <w:tblPr>
        <w:tblStyle w:val="3"/>
        <w:tblW w:w="140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1365"/>
        <w:gridCol w:w="990"/>
        <w:gridCol w:w="1486"/>
        <w:gridCol w:w="659"/>
        <w:gridCol w:w="1756"/>
        <w:gridCol w:w="975"/>
        <w:gridCol w:w="254"/>
        <w:gridCol w:w="915"/>
        <w:gridCol w:w="1021"/>
        <w:gridCol w:w="1304"/>
        <w:gridCol w:w="1306"/>
        <w:gridCol w:w="658"/>
        <w:gridCol w:w="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trPr>
        <w:tc>
          <w:tcPr>
            <w:tcW w:w="10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附件2</w:t>
            </w:r>
          </w:p>
        </w:tc>
        <w:tc>
          <w:tcPr>
            <w:tcW w:w="136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仿宋" w:hAnsi="仿宋" w:eastAsia="仿宋" w:cs="仿宋"/>
                <w:i w:val="0"/>
                <w:color w:val="000000"/>
                <w:sz w:val="32"/>
                <w:szCs w:val="32"/>
                <w:u w:val="none"/>
              </w:rPr>
            </w:pPr>
          </w:p>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仿宋" w:hAnsi="仿宋" w:eastAsia="仿宋" w:cs="仿宋"/>
                <w:i w:val="0"/>
                <w:color w:val="000000"/>
                <w:sz w:val="32"/>
                <w:szCs w:val="32"/>
                <w:u w:val="none"/>
              </w:rPr>
            </w:pPr>
          </w:p>
        </w:tc>
        <w:tc>
          <w:tcPr>
            <w:tcW w:w="9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2145"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2985"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91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2325"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1964"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24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70" w:hRule="atLeast"/>
        </w:trPr>
        <w:tc>
          <w:tcPr>
            <w:tcW w:w="14009" w:type="dxa"/>
            <w:gridSpan w:val="1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消保委实际运转和人员构成情况统计</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 w:hAnsi="仿宋" w:eastAsia="仿宋" w:cs="仿宋"/>
                <w:b w:val="0"/>
                <w:bCs/>
                <w:i w:val="0"/>
                <w:color w:val="000000"/>
                <w:kern w:val="0"/>
                <w:sz w:val="32"/>
                <w:szCs w:val="3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宋体" w:hAnsi="宋体" w:eastAsia="宋体" w:cs="宋体"/>
                <w:b/>
                <w:i w:val="0"/>
                <w:color w:val="000000"/>
                <w:kern w:val="0"/>
                <w:sz w:val="40"/>
                <w:szCs w:val="40"/>
                <w:u w:val="none"/>
                <w:lang w:val="en-US" w:eastAsia="zh-CN" w:bidi="ar"/>
              </w:rPr>
            </w:pPr>
            <w:r>
              <w:rPr>
                <w:rFonts w:hint="eastAsia" w:ascii="仿宋" w:hAnsi="仿宋" w:eastAsia="仿宋" w:cs="仿宋"/>
                <w:b w:val="0"/>
                <w:bCs/>
                <w:i w:val="0"/>
                <w:color w:val="000000"/>
                <w:kern w:val="0"/>
                <w:sz w:val="32"/>
                <w:szCs w:val="32"/>
                <w:u w:val="none"/>
                <w:lang w:val="en-US" w:eastAsia="zh-CN" w:bidi="ar"/>
              </w:rPr>
              <w:t>填报单位：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0" w:hRule="atLeast"/>
        </w:trPr>
        <w:tc>
          <w:tcPr>
            <w:tcW w:w="10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 w:hAnsi="仿宋" w:eastAsia="仿宋" w:cs="仿宋"/>
                <w:i w:val="0"/>
                <w:color w:val="000000"/>
                <w:sz w:val="32"/>
                <w:szCs w:val="32"/>
                <w:u w:val="none"/>
                <w:lang w:val="en-US" w:eastAsia="zh-CN"/>
              </w:rPr>
            </w:pPr>
          </w:p>
        </w:tc>
        <w:tc>
          <w:tcPr>
            <w:tcW w:w="136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仿宋" w:hAnsi="仿宋" w:eastAsia="仿宋" w:cs="仿宋"/>
                <w:i w:val="0"/>
                <w:color w:val="000000"/>
                <w:sz w:val="32"/>
                <w:szCs w:val="32"/>
                <w:u w:val="none"/>
              </w:rPr>
            </w:pPr>
          </w:p>
        </w:tc>
        <w:tc>
          <w:tcPr>
            <w:tcW w:w="9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148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2415"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2144"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2325"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13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c>
          <w:tcPr>
            <w:tcW w:w="898"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类别</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组建时间</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编制数</w:t>
            </w:r>
          </w:p>
        </w:tc>
        <w:tc>
          <w:tcPr>
            <w:tcW w:w="1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2018年经费情况</w:t>
            </w:r>
          </w:p>
        </w:tc>
        <w:tc>
          <w:tcPr>
            <w:tcW w:w="24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何职务担任消保委主任</w:t>
            </w:r>
          </w:p>
        </w:tc>
        <w:tc>
          <w:tcPr>
            <w:tcW w:w="57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现有在岗人员构成情况</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0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黑体" w:hAnsi="宋体" w:eastAsia="黑体" w:cs="黑体"/>
                <w:i w:val="0"/>
                <w:color w:val="000000"/>
                <w:sz w:val="28"/>
                <w:szCs w:val="2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黑体" w:hAnsi="宋体" w:eastAsia="黑体" w:cs="黑体"/>
                <w:i w:val="0"/>
                <w:color w:val="000000"/>
                <w:sz w:val="28"/>
                <w:szCs w:val="28"/>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黑体" w:hAnsi="宋体" w:eastAsia="黑体" w:cs="黑体"/>
                <w:i w:val="0"/>
                <w:color w:val="000000"/>
                <w:sz w:val="28"/>
                <w:szCs w:val="28"/>
                <w:u w:val="none"/>
              </w:rPr>
            </w:pPr>
          </w:p>
        </w:tc>
        <w:tc>
          <w:tcPr>
            <w:tcW w:w="1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黑体" w:hAnsi="宋体" w:eastAsia="黑体" w:cs="黑体"/>
                <w:i w:val="0"/>
                <w:color w:val="000000"/>
                <w:sz w:val="28"/>
                <w:szCs w:val="28"/>
                <w:u w:val="none"/>
              </w:rPr>
            </w:pPr>
          </w:p>
        </w:tc>
        <w:tc>
          <w:tcPr>
            <w:tcW w:w="24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黑体" w:hAnsi="宋体" w:eastAsia="黑体" w:cs="黑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总数</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事业编制人员数</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其他省份人员数（请作详细说明）</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黑体" w:hAnsi="宋体" w:eastAsia="黑体" w:cs="黑体"/>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市本级</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5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区一</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default" w:ascii="仿宋_GB2312" w:hAnsi="宋体" w:eastAsia="仿宋_GB2312" w:cs="仿宋_GB2312"/>
                <w:i w:val="0"/>
                <w:color w:val="000000"/>
                <w:sz w:val="28"/>
                <w:szCs w:val="28"/>
                <w:u w:val="none"/>
              </w:rPr>
            </w:pPr>
            <w:r>
              <w:rPr>
                <w:rFonts w:hint="default" w:ascii="仿宋_GB2312" w:hAnsi="宋体" w:eastAsia="仿宋_GB2312" w:cs="仿宋_GB2312"/>
                <w:i w:val="0"/>
                <w:color w:val="000000"/>
                <w:kern w:val="0"/>
                <w:sz w:val="28"/>
                <w:szCs w:val="28"/>
                <w:u w:val="none"/>
                <w:lang w:val="en-US" w:eastAsia="zh-CN" w:bidi="ar"/>
              </w:rPr>
              <w:t>县一</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default" w:ascii="仿宋_GB2312" w:hAnsi="宋体" w:eastAsia="仿宋_GB2312" w:cs="仿宋_GB2312"/>
                <w:i w:val="0"/>
                <w:color w:val="000000"/>
                <w:sz w:val="28"/>
                <w:szCs w:val="2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default" w:ascii="仿宋_GB2312" w:hAnsi="宋体" w:eastAsia="仿宋_GB2312" w:cs="仿宋_GB2312"/>
                <w:i w:val="0"/>
                <w:color w:val="000000"/>
                <w:sz w:val="28"/>
                <w:szCs w:val="2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default" w:ascii="仿宋_GB2312" w:hAnsi="宋体" w:eastAsia="仿宋_GB2312" w:cs="仿宋_GB2312"/>
                <w:i w:val="0"/>
                <w:color w:val="000000"/>
                <w:sz w:val="28"/>
                <w:szCs w:val="2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default" w:ascii="仿宋_GB2312" w:hAnsi="宋体" w:eastAsia="仿宋_GB2312" w:cs="仿宋_GB2312"/>
                <w:i w:val="0"/>
                <w:color w:val="000000"/>
                <w:sz w:val="28"/>
                <w:szCs w:val="2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default" w:ascii="仿宋_GB2312" w:hAnsi="宋体" w:eastAsia="仿宋_GB2312" w:cs="仿宋_GB2312"/>
                <w:i w:val="0"/>
                <w:color w:val="000000"/>
                <w:sz w:val="28"/>
                <w:szCs w:val="28"/>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7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仿宋_GB2312" w:hAnsi="宋体" w:eastAsia="仿宋_GB2312" w:cs="仿宋_GB2312"/>
                <w:i w:val="0"/>
                <w:color w:val="000000"/>
                <w:sz w:val="28"/>
                <w:szCs w:val="28"/>
                <w:u w:val="none"/>
                <w:lang w:eastAsia="zh-CN"/>
              </w:rPr>
            </w:pPr>
            <w:r>
              <w:rPr>
                <w:rFonts w:hint="eastAsia" w:ascii="仿宋_GB2312" w:hAnsi="宋体" w:eastAsia="仿宋_GB2312" w:cs="仿宋_GB2312"/>
                <w:i w:val="0"/>
                <w:color w:val="000000"/>
                <w:sz w:val="28"/>
                <w:szCs w:val="28"/>
                <w:u w:val="none"/>
                <w:lang w:eastAsia="zh-CN"/>
              </w:rPr>
              <w:t>合计</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8"/>
                <w:szCs w:val="28"/>
                <w:u w:val="none"/>
              </w:rPr>
            </w:pP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outlineLvl w:val="9"/>
              <w:rPr>
                <w:rFonts w:hint="eastAsia" w:ascii="宋体" w:hAnsi="宋体" w:eastAsia="宋体" w:cs="宋体"/>
                <w:i w:val="0"/>
                <w:color w:val="000000"/>
                <w:sz w:val="22"/>
                <w:szCs w:val="22"/>
                <w:u w:val="none"/>
              </w:rPr>
            </w:pPr>
          </w:p>
        </w:tc>
      </w:tr>
    </w:tbl>
    <w:tbl>
      <w:tblPr>
        <w:tblW w:w="14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1800"/>
        <w:gridCol w:w="4305"/>
        <w:gridCol w:w="3990"/>
        <w:gridCol w:w="4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40" w:hRule="atLeast"/>
        </w:trPr>
        <w:tc>
          <w:tcPr>
            <w:tcW w:w="1800" w:type="dxa"/>
            <w:shd w:val="clear"/>
            <w:vAlign w:val="center"/>
          </w:tcPr>
          <w:p>
            <w:pPr>
              <w:keepNext w:val="0"/>
              <w:keepLines w:val="0"/>
              <w:widowControl/>
              <w:suppressLineNumbers w:val="0"/>
              <w:jc w:val="left"/>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附件3</w:t>
            </w:r>
          </w:p>
        </w:tc>
        <w:tc>
          <w:tcPr>
            <w:tcW w:w="4305" w:type="dxa"/>
            <w:shd w:val="clear"/>
            <w:vAlign w:val="center"/>
          </w:tcPr>
          <w:p>
            <w:pPr>
              <w:rPr>
                <w:rFonts w:hint="eastAsia" w:ascii="宋体" w:hAnsi="宋体" w:eastAsia="宋体" w:cs="宋体"/>
                <w:i w:val="0"/>
                <w:color w:val="000000"/>
                <w:sz w:val="22"/>
                <w:szCs w:val="22"/>
                <w:u w:val="none"/>
              </w:rPr>
            </w:pPr>
          </w:p>
        </w:tc>
        <w:tc>
          <w:tcPr>
            <w:tcW w:w="3990" w:type="dxa"/>
            <w:shd w:val="clear"/>
            <w:vAlign w:val="center"/>
          </w:tcPr>
          <w:p>
            <w:pPr>
              <w:rPr>
                <w:rFonts w:hint="eastAsia" w:ascii="宋体" w:hAnsi="宋体" w:eastAsia="宋体" w:cs="宋体"/>
                <w:i w:val="0"/>
                <w:color w:val="000000"/>
                <w:sz w:val="22"/>
                <w:szCs w:val="22"/>
                <w:u w:val="none"/>
              </w:rPr>
            </w:pPr>
          </w:p>
        </w:tc>
        <w:tc>
          <w:tcPr>
            <w:tcW w:w="4305" w:type="dxa"/>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05" w:hRule="atLeast"/>
        </w:trPr>
        <w:tc>
          <w:tcPr>
            <w:tcW w:w="14400" w:type="dxa"/>
            <w:gridSpan w:val="4"/>
            <w:shd w:val="cle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调研督查地点安排表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20" w:hRule="atLeast"/>
        </w:trPr>
        <w:tc>
          <w:tcPr>
            <w:tcW w:w="18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组别</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地点</w:t>
            </w:r>
          </w:p>
        </w:tc>
        <w:tc>
          <w:tcPr>
            <w:tcW w:w="3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消保处</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消保委秘书处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18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第一组</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黄山、池州</w:t>
            </w:r>
          </w:p>
        </w:tc>
        <w:tc>
          <w:tcPr>
            <w:tcW w:w="3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陆红、诸定凯</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孙初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40" w:hRule="atLeast"/>
        </w:trPr>
        <w:tc>
          <w:tcPr>
            <w:tcW w:w="18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第二组</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宿州、淮北、滁州</w:t>
            </w:r>
          </w:p>
        </w:tc>
        <w:tc>
          <w:tcPr>
            <w:tcW w:w="3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平开斌</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王文博、冯微微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18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第三组</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合肥、铜陵、安庆</w:t>
            </w:r>
          </w:p>
        </w:tc>
        <w:tc>
          <w:tcPr>
            <w:tcW w:w="3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李翔云、刘奇</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韩峻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975" w:hRule="atLeast"/>
        </w:trPr>
        <w:tc>
          <w:tcPr>
            <w:tcW w:w="18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第四组</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亳州、阜阳</w:t>
            </w:r>
          </w:p>
        </w:tc>
        <w:tc>
          <w:tcPr>
            <w:tcW w:w="3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汪乙敏</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张路明、孙初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18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第五组</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蚌埠、淮南、六安</w:t>
            </w:r>
          </w:p>
        </w:tc>
        <w:tc>
          <w:tcPr>
            <w:tcW w:w="3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李翔云、刘奇</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董杰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900" w:hRule="atLeast"/>
        </w:trPr>
        <w:tc>
          <w:tcPr>
            <w:tcW w:w="18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第六组</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马鞍山、芜湖、宣城</w:t>
            </w:r>
          </w:p>
        </w:tc>
        <w:tc>
          <w:tcPr>
            <w:tcW w:w="3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汪乙敏</w:t>
            </w:r>
          </w:p>
        </w:tc>
        <w:tc>
          <w:tcPr>
            <w:tcW w:w="43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00"/>
                <w:sz w:val="32"/>
                <w:szCs w:val="32"/>
                <w:u w:val="none"/>
              </w:rPr>
            </w:pPr>
            <w:r>
              <w:rPr>
                <w:rFonts w:hint="eastAsia" w:ascii="仿宋" w:hAnsi="仿宋" w:eastAsia="仿宋" w:cs="仿宋"/>
                <w:i w:val="0"/>
                <w:color w:val="000000"/>
                <w:kern w:val="0"/>
                <w:sz w:val="32"/>
                <w:szCs w:val="32"/>
                <w:u w:val="none"/>
                <w:lang w:val="en-US" w:eastAsia="zh-CN" w:bidi="ar"/>
              </w:rPr>
              <w:t>吴瑞卿、金小武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90" w:hRule="atLeast"/>
        </w:trPr>
        <w:tc>
          <w:tcPr>
            <w:tcW w:w="14400" w:type="dxa"/>
            <w:gridSpan w:val="4"/>
            <w:shd w:val="cle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    说明：1.具体时间由各组成员自行与所到地联络后确定，广德和宿松两县由赴宣城、安庆的组别负责。</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 xml:space="preserve">          2.各组组长由消保处同志担任，重点负责所到地联系及费用结算，消保委秘书处同志负责填表及调研督查报告的撰写工作。</w:t>
            </w:r>
          </w:p>
        </w:tc>
      </w:tr>
    </w:tbl>
    <w:p>
      <w:pPr>
        <w:rPr>
          <w:rFonts w:hint="eastAsia" w:ascii="仿宋" w:hAnsi="仿宋" w:eastAsia="仿宋" w:cs="仿宋"/>
          <w:kern w:val="0"/>
          <w:sz w:val="32"/>
          <w:szCs w:val="32"/>
        </w:rPr>
      </w:pPr>
      <w:bookmarkStart w:id="1" w:name="_GoBack"/>
      <w:bookmarkEnd w:id="1"/>
    </w:p>
    <w:sectPr>
      <w:pgSz w:w="16838" w:h="11906" w:orient="landscape"/>
      <w:pgMar w:top="1463" w:right="1440" w:bottom="1406" w:left="1383" w:header="851" w:footer="992" w:gutter="0"/>
      <w:cols w:space="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C65A1D"/>
    <w:rsid w:val="27F05496"/>
    <w:rsid w:val="5AC65A1D"/>
    <w:rsid w:val="60986C1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2018-04-13T00:36:00Z</dcterms:created>
  <dc:creator>Administrator</dc:creator>
  <cp:lastModifiedBy>Administrator</cp:lastModifiedBy>
  <dcterms:modified xsi:type="dcterms:W3CDTF">2018-04-13T00:46:11Z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